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900BE8" w:rsidRDefault="00000000" w:rsidP="009775EA">
      <w:pPr>
        <w:pBdr>
          <w:top w:val="nil"/>
          <w:left w:val="nil"/>
          <w:bottom w:val="nil"/>
          <w:right w:val="nil"/>
          <w:between w:val="nil"/>
        </w:pBdr>
        <w:jc w:val="center"/>
        <w:rPr>
          <w:rFonts w:ascii="Arial" w:eastAsia="Arial" w:hAnsi="Arial" w:cs="Arial"/>
          <w:b/>
          <w:color w:val="222222"/>
          <w:highlight w:val="white"/>
          <w:u w:val="single"/>
        </w:rPr>
      </w:pPr>
      <w:r>
        <w:rPr>
          <w:rFonts w:ascii="Arial" w:eastAsia="Arial" w:hAnsi="Arial" w:cs="Arial"/>
          <w:b/>
          <w:color w:val="222222"/>
          <w:highlight w:val="white"/>
          <w:u w:val="single"/>
        </w:rPr>
        <w:t>Virginia Tech – Facilities, Equipment and Other Resources</w:t>
      </w:r>
    </w:p>
    <w:p w14:paraId="00000002" w14:textId="77777777" w:rsidR="00900BE8" w:rsidRDefault="00900BE8" w:rsidP="009775EA">
      <w:pPr>
        <w:jc w:val="both"/>
        <w:rPr>
          <w:rFonts w:ascii="Arial" w:eastAsia="Arial" w:hAnsi="Arial" w:cs="Arial"/>
        </w:rPr>
      </w:pPr>
    </w:p>
    <w:p w14:paraId="7702A345" w14:textId="27933C1E" w:rsidR="00BA13BE" w:rsidRPr="00BA13BE" w:rsidRDefault="00BA13BE" w:rsidP="00BA13BE">
      <w:pPr>
        <w:jc w:val="both"/>
        <w:rPr>
          <w:rFonts w:ascii="Arial" w:eastAsia="Arial" w:hAnsi="Arial" w:cs="Arial"/>
          <w:color w:val="404040"/>
        </w:rPr>
      </w:pPr>
      <w:r w:rsidRPr="00BA13BE">
        <w:rPr>
          <w:rFonts w:ascii="Arial" w:eastAsia="Arial" w:hAnsi="Arial" w:cs="Arial"/>
          <w:color w:val="404040"/>
        </w:rPr>
        <w:t>Virginia Tech's Advanced Research Computing (ARC) is a unit within the Division of Information Technology and provides centralized research computing resources which are available to any Virginia Tech researcher. ARC provides cutting-edge high-performance computing and operates 5 clusters with 632 compute nodes, 64,736 CPU cores, 360 TB RAM, 51</w:t>
      </w:r>
      <w:r w:rsidR="00AF39F5">
        <w:rPr>
          <w:rFonts w:ascii="Arial" w:eastAsia="Arial" w:hAnsi="Arial" w:cs="Arial"/>
          <w:color w:val="404040"/>
        </w:rPr>
        <w:t>4</w:t>
      </w:r>
      <w:r w:rsidRPr="00BA13BE">
        <w:rPr>
          <w:rFonts w:ascii="Arial" w:eastAsia="Arial" w:hAnsi="Arial" w:cs="Arial"/>
          <w:color w:val="404040"/>
        </w:rPr>
        <w:t xml:space="preserve"> GPUs, and over 11 PB of storage. Currently available high performance computing (HPC) systems include:</w:t>
      </w:r>
    </w:p>
    <w:p w14:paraId="70AD87E7" w14:textId="77777777" w:rsidR="009775EA" w:rsidRPr="009775EA" w:rsidRDefault="009775EA" w:rsidP="009775EA">
      <w:pPr>
        <w:jc w:val="both"/>
        <w:rPr>
          <w:rFonts w:ascii="Arial" w:eastAsia="Arial" w:hAnsi="Arial" w:cs="Arial"/>
          <w:color w:val="404040"/>
        </w:rPr>
      </w:pPr>
    </w:p>
    <w:p w14:paraId="3EA9C2C5" w14:textId="77777777" w:rsidR="00BA13BE" w:rsidRPr="00BA13BE" w:rsidRDefault="009775EA" w:rsidP="00BA13BE">
      <w:pPr>
        <w:pStyle w:val="ListParagraph"/>
        <w:numPr>
          <w:ilvl w:val="0"/>
          <w:numId w:val="3"/>
        </w:numPr>
        <w:jc w:val="both"/>
        <w:rPr>
          <w:rFonts w:ascii="Arial" w:eastAsia="Arial" w:hAnsi="Arial" w:cs="Arial"/>
          <w:color w:val="404040"/>
        </w:rPr>
      </w:pPr>
      <w:r w:rsidRPr="00BA13BE">
        <w:rPr>
          <w:rFonts w:ascii="Arial" w:eastAsia="Arial" w:hAnsi="Arial" w:cs="Arial"/>
          <w:b/>
          <w:bCs/>
          <w:color w:val="404040"/>
        </w:rPr>
        <w:t>TinkerCliffs</w:t>
      </w:r>
      <w:r w:rsidRPr="00BA13BE">
        <w:rPr>
          <w:rFonts w:ascii="Arial" w:eastAsia="Arial" w:hAnsi="Arial" w:cs="Arial"/>
          <w:color w:val="404040"/>
        </w:rPr>
        <w:t xml:space="preserve">: </w:t>
      </w:r>
      <w:r w:rsidR="00BA13BE" w:rsidRPr="00BA13BE">
        <w:rPr>
          <w:rFonts w:ascii="Arial" w:eastAsia="Arial" w:hAnsi="Arial" w:cs="Arial"/>
          <w:color w:val="404040"/>
        </w:rPr>
        <w:t>flagship general-purpose CPU and GPU cluster. This cluster has 288 nodes with 36,864 AMD Rome CPU cores, 16 nodes with 1,536 Intel Xeon CPUs, 8 high-memory nodes with 1 TB RAM each, 14 nodes with 8 NVIDIA A100-80GB GPUs each, and 6 nodes with 8 NVIDIA H200-141GB GPUs each. Nodes are connected via HDR InfiniBand offering 100 Gbps throughput.</w:t>
      </w:r>
    </w:p>
    <w:p w14:paraId="5B8AD2B2" w14:textId="04F39AA0" w:rsidR="009775EA" w:rsidRPr="00BA13BE" w:rsidRDefault="009775EA" w:rsidP="00BA13BE">
      <w:pPr>
        <w:pStyle w:val="ListParagraph"/>
        <w:numPr>
          <w:ilvl w:val="0"/>
          <w:numId w:val="3"/>
        </w:numPr>
        <w:jc w:val="both"/>
        <w:rPr>
          <w:rFonts w:ascii="Arial" w:eastAsia="Arial" w:hAnsi="Arial" w:cs="Arial"/>
          <w:color w:val="404040"/>
        </w:rPr>
      </w:pPr>
      <w:r w:rsidRPr="00BA13BE">
        <w:rPr>
          <w:rFonts w:ascii="Arial" w:eastAsia="Arial" w:hAnsi="Arial" w:cs="Arial"/>
          <w:b/>
          <w:bCs/>
          <w:color w:val="404040"/>
        </w:rPr>
        <w:t>Owl</w:t>
      </w:r>
      <w:r w:rsidRPr="00BA13BE">
        <w:rPr>
          <w:rFonts w:ascii="Arial" w:eastAsia="Arial" w:hAnsi="Arial" w:cs="Arial"/>
          <w:color w:val="404040"/>
        </w:rPr>
        <w:t xml:space="preserve">: </w:t>
      </w:r>
      <w:r w:rsidR="00BA13BE" w:rsidRPr="00BA13BE">
        <w:rPr>
          <w:rFonts w:ascii="Arial" w:eastAsia="Arial" w:hAnsi="Arial" w:cs="Arial"/>
          <w:color w:val="404040"/>
        </w:rPr>
        <w:t>high-speed, water-cooled CPU and GPU cluster. This cluster has 160 nodes each with 96 AMD Genoa CPU cores and 768 GB RAM, 4 nodes with 64 AMD Milan CPU cores and 512 GB RAM, 12 high-memory nodes each with either 3, 4 or 8 TB RAM, and 4 nodes with 8 NVIDIA B200-180G GPUs each, interconnected with HDR InfiniBand running at 200 Gbps.</w:t>
      </w:r>
      <w:r w:rsidRPr="00BA13BE">
        <w:rPr>
          <w:rFonts w:ascii="Arial" w:eastAsia="Arial" w:hAnsi="Arial" w:cs="Arial"/>
          <w:color w:val="404040"/>
        </w:rPr>
        <w:t xml:space="preserve"> </w:t>
      </w:r>
    </w:p>
    <w:p w14:paraId="4EDEE675" w14:textId="77777777" w:rsidR="00BA13BE" w:rsidRPr="00BA13BE" w:rsidRDefault="009775EA" w:rsidP="00BA13BE">
      <w:pPr>
        <w:pStyle w:val="ListParagraph"/>
        <w:numPr>
          <w:ilvl w:val="0"/>
          <w:numId w:val="3"/>
        </w:numPr>
        <w:jc w:val="both"/>
        <w:rPr>
          <w:rFonts w:ascii="Arial" w:eastAsia="Arial" w:hAnsi="Arial" w:cs="Arial"/>
          <w:color w:val="404040"/>
        </w:rPr>
      </w:pPr>
      <w:r w:rsidRPr="00BA13BE">
        <w:rPr>
          <w:rFonts w:ascii="Arial" w:eastAsia="Arial" w:hAnsi="Arial" w:cs="Arial"/>
          <w:b/>
          <w:bCs/>
          <w:color w:val="404040"/>
        </w:rPr>
        <w:t>Falcon</w:t>
      </w:r>
      <w:r w:rsidRPr="00BA13BE">
        <w:rPr>
          <w:rFonts w:ascii="Arial" w:eastAsia="Arial" w:hAnsi="Arial" w:cs="Arial"/>
          <w:color w:val="404040"/>
        </w:rPr>
        <w:t xml:space="preserve">: </w:t>
      </w:r>
      <w:r w:rsidR="00BA13BE" w:rsidRPr="00BA13BE">
        <w:rPr>
          <w:rFonts w:ascii="Arial" w:eastAsia="Arial" w:hAnsi="Arial" w:cs="Arial"/>
          <w:color w:val="404040"/>
        </w:rPr>
        <w:t>GPU-based cluster made up of 106 compute nodes with a total of 128 NVIDIA A30, 80 NVIDIA L40S, 80 NVIDIA V100, and 18 NVIDIA T4 GPUs. Nodes are connected via NDR InfiniBand offering 200 Gbps throughput or 10 Gb Ethernet (V100 and T4 nodes).</w:t>
      </w:r>
    </w:p>
    <w:p w14:paraId="16536BD9" w14:textId="77777777" w:rsidR="00BA13BE" w:rsidRPr="00BA13BE" w:rsidRDefault="009775EA" w:rsidP="00BA13BE">
      <w:pPr>
        <w:pStyle w:val="ListParagraph"/>
        <w:numPr>
          <w:ilvl w:val="0"/>
          <w:numId w:val="3"/>
        </w:numPr>
        <w:jc w:val="both"/>
        <w:rPr>
          <w:rFonts w:ascii="Arial" w:eastAsia="Arial" w:hAnsi="Arial" w:cs="Arial"/>
          <w:color w:val="404040"/>
        </w:rPr>
      </w:pPr>
      <w:r w:rsidRPr="00BA13BE">
        <w:rPr>
          <w:rFonts w:ascii="Arial" w:eastAsia="Arial" w:hAnsi="Arial" w:cs="Arial"/>
          <w:b/>
          <w:bCs/>
          <w:color w:val="404040"/>
        </w:rPr>
        <w:t>CUI</w:t>
      </w:r>
      <w:r w:rsidRPr="00BA13BE">
        <w:rPr>
          <w:rFonts w:ascii="Arial" w:eastAsia="Arial" w:hAnsi="Arial" w:cs="Arial"/>
          <w:color w:val="404040"/>
        </w:rPr>
        <w:t xml:space="preserve">: </w:t>
      </w:r>
      <w:r w:rsidR="00BA13BE" w:rsidRPr="00BA13BE">
        <w:rPr>
          <w:rFonts w:ascii="Arial" w:eastAsia="Arial" w:hAnsi="Arial" w:cs="Arial"/>
          <w:color w:val="404040"/>
        </w:rPr>
        <w:t>This is a dedicated cluster for ITAR or Export Controlled software/data. This cluster has 10 CPU nodes each with 64 CPUs and 512 GB RAM, and 2 GPU nodes each with 64 CPUs, 2 TB RAM, and 8 NVIDIA A100-80GB GPUs. Access is restricted to US persons.</w:t>
      </w:r>
    </w:p>
    <w:p w14:paraId="7A7F29E2" w14:textId="77777777" w:rsidR="00BA13BE" w:rsidRPr="00BA13BE" w:rsidRDefault="00D237F9" w:rsidP="00BA13BE">
      <w:pPr>
        <w:pStyle w:val="ListParagraph"/>
        <w:numPr>
          <w:ilvl w:val="0"/>
          <w:numId w:val="3"/>
        </w:numPr>
        <w:jc w:val="both"/>
        <w:rPr>
          <w:rFonts w:ascii="Arial" w:eastAsia="Arial" w:hAnsi="Arial" w:cs="Arial"/>
          <w:color w:val="404040"/>
        </w:rPr>
      </w:pPr>
      <w:r w:rsidRPr="00BA13BE">
        <w:rPr>
          <w:rFonts w:ascii="Arial" w:eastAsia="Arial" w:hAnsi="Arial" w:cs="Arial"/>
          <w:b/>
          <w:bCs/>
          <w:color w:val="404040"/>
        </w:rPr>
        <w:t>Biomed</w:t>
      </w:r>
      <w:r w:rsidR="00854C22" w:rsidRPr="00BA13BE">
        <w:rPr>
          <w:rFonts w:ascii="Arial" w:eastAsia="Arial" w:hAnsi="Arial" w:cs="Arial"/>
          <w:color w:val="404040"/>
        </w:rPr>
        <w:t xml:space="preserve">: </w:t>
      </w:r>
      <w:r w:rsidR="00BA13BE" w:rsidRPr="00BA13BE">
        <w:rPr>
          <w:rFonts w:ascii="Arial" w:eastAsia="Arial" w:hAnsi="Arial" w:cs="Arial"/>
          <w:color w:val="404040"/>
        </w:rPr>
        <w:t>This is a dedicated cluster for biomedical research needing NIST 800-171 compliance. This cluster has 2 CPU nodes each with 64 CPUs and 512 GB RAM, and one GPU node with 64 CPUs, 2 TB RAM, and 8 NVIDIA A100-80GB GPUs.</w:t>
      </w:r>
    </w:p>
    <w:p w14:paraId="5DAAD335" w14:textId="7B76BE48" w:rsidR="009775EA" w:rsidRPr="00BA13BE" w:rsidRDefault="009775EA" w:rsidP="00BA13BE">
      <w:pPr>
        <w:pStyle w:val="ListParagraph"/>
        <w:jc w:val="both"/>
        <w:rPr>
          <w:rFonts w:ascii="Arial" w:eastAsia="Arial" w:hAnsi="Arial" w:cs="Arial"/>
          <w:color w:val="404040"/>
        </w:rPr>
      </w:pPr>
    </w:p>
    <w:p w14:paraId="7C37DAF7" w14:textId="77777777" w:rsidR="00BA13BE" w:rsidRPr="00BA13BE" w:rsidRDefault="00BA13BE" w:rsidP="00BA13BE">
      <w:pPr>
        <w:jc w:val="both"/>
        <w:rPr>
          <w:rFonts w:ascii="Arial" w:eastAsia="Arial" w:hAnsi="Arial" w:cs="Arial"/>
          <w:color w:val="404040"/>
        </w:rPr>
      </w:pPr>
      <w:r w:rsidRPr="00BA13BE">
        <w:rPr>
          <w:rFonts w:ascii="Arial" w:eastAsia="Arial" w:hAnsi="Arial" w:cs="Arial"/>
          <w:color w:val="404040"/>
        </w:rPr>
        <w:t>Centralized storage provides over 11 PB of long-term bulk "project" storage, as well as "scratch" storage for workflows with demanding I/O needs.</w:t>
      </w:r>
    </w:p>
    <w:p w14:paraId="1DF750C6" w14:textId="77777777" w:rsidR="009775EA" w:rsidRPr="009775EA" w:rsidRDefault="009775EA" w:rsidP="009775EA">
      <w:pPr>
        <w:jc w:val="both"/>
        <w:rPr>
          <w:rFonts w:ascii="Arial" w:eastAsia="Arial" w:hAnsi="Arial" w:cs="Arial"/>
          <w:color w:val="404040"/>
        </w:rPr>
      </w:pPr>
    </w:p>
    <w:p w14:paraId="189DE1C2" w14:textId="331EFB2A" w:rsidR="00BA13BE" w:rsidRPr="00BA13BE" w:rsidRDefault="00BA13BE" w:rsidP="00BA13BE">
      <w:pPr>
        <w:jc w:val="both"/>
        <w:rPr>
          <w:rFonts w:ascii="Arial" w:eastAsia="Arial" w:hAnsi="Arial" w:cs="Arial"/>
          <w:color w:val="404040"/>
        </w:rPr>
      </w:pPr>
      <w:r w:rsidRPr="00BA13BE">
        <w:rPr>
          <w:rFonts w:ascii="Arial" w:eastAsia="Arial" w:hAnsi="Arial" w:cs="Arial"/>
          <w:color w:val="404040"/>
        </w:rPr>
        <w:t>ARC employs 16 FTEs and 3 GRAs to support the infrastructure and provide user support. ARC provides services to accelerate discovery and enhance the use of these systems. ARC has a staff of computational scientists who are available to consult with researchers to provide expert advice on the selection of systems for their workloads, optimizing workflows and code bases, and actively engaging in collaborative research. For extended engagements, they are also able to participate as named personnel on sponsored projects. Daily office hours are hosted by a team of graduate assistants who also provide most of the support for system usage via ARC Helpdesk tickets.</w:t>
      </w:r>
    </w:p>
    <w:p w14:paraId="10C1BB7E" w14:textId="77777777" w:rsidR="009775EA" w:rsidRPr="009775EA" w:rsidRDefault="009775EA" w:rsidP="009775EA">
      <w:pPr>
        <w:jc w:val="both"/>
        <w:rPr>
          <w:rFonts w:ascii="Arial" w:eastAsia="Arial" w:hAnsi="Arial" w:cs="Arial"/>
          <w:color w:val="404040"/>
        </w:rPr>
      </w:pPr>
    </w:p>
    <w:p w14:paraId="3A83D90F" w14:textId="3C5608B5" w:rsidR="00BA13BE" w:rsidRPr="00BA13BE" w:rsidRDefault="00BA13BE" w:rsidP="00BA13BE">
      <w:pPr>
        <w:jc w:val="both"/>
        <w:rPr>
          <w:rFonts w:ascii="Arial" w:eastAsia="Arial" w:hAnsi="Arial" w:cs="Arial"/>
          <w:color w:val="404040"/>
        </w:rPr>
      </w:pPr>
      <w:r w:rsidRPr="00BA13BE">
        <w:rPr>
          <w:rFonts w:ascii="Arial" w:eastAsia="Arial" w:hAnsi="Arial" w:cs="Arial"/>
          <w:color w:val="404040"/>
        </w:rPr>
        <w:t>ARC provides self-hosted LLMs for research, education, and administrative use, with several ways to access them. Users can interact through a web interface at https://llm.arc.vt.edu or integrate programmatically via the API at https://llm-api.arc.vt.edu. Dedicated LLM environments are available through Open OnDemand at</w:t>
      </w:r>
      <w:r>
        <w:rPr>
          <w:rFonts w:ascii="Arial" w:eastAsia="Arial" w:hAnsi="Arial" w:cs="Arial"/>
          <w:color w:val="404040"/>
        </w:rPr>
        <w:t xml:space="preserve"> </w:t>
      </w:r>
      <w:r w:rsidRPr="005E04B6">
        <w:rPr>
          <w:rFonts w:ascii="Arial" w:eastAsia="Arial" w:hAnsi="Arial" w:cs="Arial"/>
        </w:rPr>
        <w:t>https://ood.arc.vt.edu</w:t>
      </w:r>
      <w:r w:rsidRPr="00BA13BE">
        <w:rPr>
          <w:rFonts w:ascii="Arial" w:eastAsia="Arial" w:hAnsi="Arial" w:cs="Arial"/>
          <w:color w:val="404040"/>
        </w:rPr>
        <w:t>.</w:t>
      </w:r>
      <w:r>
        <w:rPr>
          <w:rFonts w:ascii="Arial" w:eastAsia="Arial" w:hAnsi="Arial" w:cs="Arial"/>
          <w:color w:val="404040"/>
        </w:rPr>
        <w:t xml:space="preserve"> </w:t>
      </w:r>
      <w:r w:rsidRPr="00BA13BE">
        <w:rPr>
          <w:rFonts w:ascii="Arial" w:eastAsia="Arial" w:hAnsi="Arial" w:cs="Arial"/>
          <w:color w:val="404040"/>
        </w:rPr>
        <w:t>ARC supports custom deployments using vLLM and llama.cpp with Slurm, as well as integration with IDEs</w:t>
      </w:r>
      <w:r>
        <w:rPr>
          <w:rFonts w:ascii="Arial" w:eastAsia="Arial" w:hAnsi="Arial" w:cs="Arial"/>
          <w:color w:val="404040"/>
        </w:rPr>
        <w:t xml:space="preserve"> </w:t>
      </w:r>
      <w:r w:rsidRPr="00BA13BE">
        <w:rPr>
          <w:rFonts w:ascii="Arial" w:eastAsia="Arial" w:hAnsi="Arial" w:cs="Arial"/>
          <w:color w:val="404040"/>
        </w:rPr>
        <w:t>using API</w:t>
      </w:r>
      <w:r>
        <w:rPr>
          <w:rFonts w:ascii="Arial" w:eastAsia="Arial" w:hAnsi="Arial" w:cs="Arial"/>
          <w:color w:val="404040"/>
        </w:rPr>
        <w:t>s.</w:t>
      </w:r>
    </w:p>
    <w:p w14:paraId="6F2ADBEE" w14:textId="77777777" w:rsidR="00BA13BE" w:rsidRPr="00BA13BE" w:rsidRDefault="00BA13BE" w:rsidP="00BA13BE">
      <w:pPr>
        <w:jc w:val="both"/>
        <w:rPr>
          <w:rFonts w:ascii="Arial" w:eastAsia="Arial" w:hAnsi="Arial" w:cs="Arial"/>
          <w:color w:val="404040"/>
        </w:rPr>
      </w:pPr>
    </w:p>
    <w:p w14:paraId="5A441E3D" w14:textId="77777777" w:rsidR="00BA13BE" w:rsidRPr="00BA13BE" w:rsidRDefault="00BA13BE" w:rsidP="00BA13BE">
      <w:pPr>
        <w:jc w:val="both"/>
        <w:rPr>
          <w:rFonts w:ascii="Arial" w:eastAsia="Arial" w:hAnsi="Arial" w:cs="Arial"/>
          <w:color w:val="404040"/>
        </w:rPr>
      </w:pPr>
      <w:r w:rsidRPr="00BA13BE">
        <w:rPr>
          <w:rFonts w:ascii="Arial" w:eastAsia="Arial" w:hAnsi="Arial" w:cs="Arial"/>
          <w:color w:val="404040"/>
        </w:rPr>
        <w:t>ARC’s Visionarium Lab provides an array of visualization resources, including the VisCube, an immersive 14.7′ x 14.7′ x 9.2′ three-dimensional visualization environment. The VT Visionarium provides nearly 86 million pixels, 4 billion triangles-per-second and 22 TB/s of GPU bandwidth.</w:t>
      </w:r>
    </w:p>
    <w:p w14:paraId="0248EFD8" w14:textId="77777777" w:rsidR="00BA13BE" w:rsidRPr="00BA13BE" w:rsidRDefault="00BA13BE" w:rsidP="00BA13BE">
      <w:pPr>
        <w:jc w:val="both"/>
        <w:rPr>
          <w:rFonts w:ascii="Arial" w:eastAsia="Arial" w:hAnsi="Arial" w:cs="Arial"/>
          <w:color w:val="404040"/>
        </w:rPr>
      </w:pPr>
    </w:p>
    <w:p w14:paraId="00000017" w14:textId="46964FC0" w:rsidR="00900BE8" w:rsidRDefault="00BA13BE" w:rsidP="009775EA">
      <w:pPr>
        <w:jc w:val="both"/>
        <w:rPr>
          <w:rFonts w:ascii="Arial" w:eastAsia="Arial" w:hAnsi="Arial" w:cs="Arial"/>
          <w:color w:val="404040"/>
        </w:rPr>
      </w:pPr>
      <w:r w:rsidRPr="00BA13BE">
        <w:rPr>
          <w:rFonts w:ascii="Arial" w:eastAsia="Arial" w:hAnsi="Arial" w:cs="Arial"/>
          <w:color w:val="404040"/>
        </w:rPr>
        <w:t>ARC resources leverage Virginia Tech’s network connectivity, and network. Virginia offers access to advanced national networks, including ESnet, Internet2, and Mid Atlantic Crossroads.</w:t>
      </w:r>
    </w:p>
    <w:sectPr w:rsidR="00900BE8">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473082" w14:textId="77777777" w:rsidR="00C114F1" w:rsidRDefault="00C114F1">
      <w:r>
        <w:separator/>
      </w:r>
    </w:p>
  </w:endnote>
  <w:endnote w:type="continuationSeparator" w:id="0">
    <w:p w14:paraId="38D76B6F" w14:textId="77777777" w:rsidR="00C114F1" w:rsidRDefault="00C114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1B" w14:textId="77777777" w:rsidR="00900BE8" w:rsidRDefault="00900BE8">
    <w:pPr>
      <w:pBdr>
        <w:top w:val="nil"/>
        <w:left w:val="nil"/>
        <w:bottom w:val="nil"/>
        <w:right w:val="nil"/>
        <w:between w:val="nil"/>
      </w:pBdr>
      <w:tabs>
        <w:tab w:val="center" w:pos="4320"/>
        <w:tab w:val="right" w:pos="8640"/>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1D" w14:textId="77777777" w:rsidR="00900BE8" w:rsidRDefault="00900BE8">
    <w:pPr>
      <w:pBdr>
        <w:top w:val="nil"/>
        <w:left w:val="nil"/>
        <w:bottom w:val="nil"/>
        <w:right w:val="nil"/>
        <w:between w:val="nil"/>
      </w:pBdr>
      <w:tabs>
        <w:tab w:val="center" w:pos="4320"/>
        <w:tab w:val="right" w:pos="8640"/>
      </w:tabs>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1C" w14:textId="77777777" w:rsidR="00900BE8" w:rsidRDefault="00900BE8">
    <w:pPr>
      <w:pBdr>
        <w:top w:val="nil"/>
        <w:left w:val="nil"/>
        <w:bottom w:val="nil"/>
        <w:right w:val="nil"/>
        <w:between w:val="nil"/>
      </w:pBdr>
      <w:tabs>
        <w:tab w:val="center" w:pos="4320"/>
        <w:tab w:val="right" w:pos="8640"/>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45B292" w14:textId="77777777" w:rsidR="00C114F1" w:rsidRDefault="00C114F1">
      <w:r>
        <w:separator/>
      </w:r>
    </w:p>
  </w:footnote>
  <w:footnote w:type="continuationSeparator" w:id="0">
    <w:p w14:paraId="0FB44C2C" w14:textId="77777777" w:rsidR="00C114F1" w:rsidRDefault="00C114F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19" w14:textId="77777777" w:rsidR="00900BE8" w:rsidRDefault="00900BE8">
    <w:pPr>
      <w:pBdr>
        <w:top w:val="nil"/>
        <w:left w:val="nil"/>
        <w:bottom w:val="nil"/>
        <w:right w:val="nil"/>
        <w:between w:val="nil"/>
      </w:pBdr>
      <w:tabs>
        <w:tab w:val="center" w:pos="4680"/>
        <w:tab w:val="right" w:pos="9360"/>
      </w:tabs>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18" w14:textId="77777777" w:rsidR="00900BE8" w:rsidRDefault="00900BE8">
    <w:pPr>
      <w:pBdr>
        <w:top w:val="nil"/>
        <w:left w:val="nil"/>
        <w:bottom w:val="nil"/>
        <w:right w:val="nil"/>
        <w:between w:val="nil"/>
      </w:pBdr>
      <w:tabs>
        <w:tab w:val="center" w:pos="4680"/>
        <w:tab w:val="right" w:pos="9360"/>
      </w:tabs>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1A" w14:textId="77777777" w:rsidR="00900BE8" w:rsidRDefault="00900BE8">
    <w:pPr>
      <w:pBdr>
        <w:top w:val="nil"/>
        <w:left w:val="nil"/>
        <w:bottom w:val="nil"/>
        <w:right w:val="nil"/>
        <w:between w:val="nil"/>
      </w:pBdr>
      <w:tabs>
        <w:tab w:val="center" w:pos="4680"/>
        <w:tab w:val="right" w:pos="9360"/>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F5509E"/>
    <w:multiLevelType w:val="hybridMultilevel"/>
    <w:tmpl w:val="26608E9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11262DB"/>
    <w:multiLevelType w:val="multilevel"/>
    <w:tmpl w:val="530432C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28481953"/>
    <w:multiLevelType w:val="hybridMultilevel"/>
    <w:tmpl w:val="85B88A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700C4A9C"/>
    <w:multiLevelType w:val="multilevel"/>
    <w:tmpl w:val="1BDE88E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361012945">
    <w:abstractNumId w:val="3"/>
  </w:num>
  <w:num w:numId="2" w16cid:durableId="1580753130">
    <w:abstractNumId w:val="1"/>
  </w:num>
  <w:num w:numId="3" w16cid:durableId="259796664">
    <w:abstractNumId w:val="0"/>
  </w:num>
  <w:num w:numId="4" w16cid:durableId="17454116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0BE8"/>
    <w:rsid w:val="00035EE6"/>
    <w:rsid w:val="000401E2"/>
    <w:rsid w:val="000941EC"/>
    <w:rsid w:val="001F66AD"/>
    <w:rsid w:val="00241B14"/>
    <w:rsid w:val="002F29C5"/>
    <w:rsid w:val="004A3368"/>
    <w:rsid w:val="004B45C3"/>
    <w:rsid w:val="00501B0F"/>
    <w:rsid w:val="00511163"/>
    <w:rsid w:val="00557F84"/>
    <w:rsid w:val="00560081"/>
    <w:rsid w:val="005E04B6"/>
    <w:rsid w:val="00652D49"/>
    <w:rsid w:val="00691705"/>
    <w:rsid w:val="006A63B3"/>
    <w:rsid w:val="006E1563"/>
    <w:rsid w:val="00706F4D"/>
    <w:rsid w:val="007240B2"/>
    <w:rsid w:val="00727E80"/>
    <w:rsid w:val="007F703A"/>
    <w:rsid w:val="00854C22"/>
    <w:rsid w:val="00900BE8"/>
    <w:rsid w:val="009549DB"/>
    <w:rsid w:val="009775EA"/>
    <w:rsid w:val="00A467A4"/>
    <w:rsid w:val="00AE2BBA"/>
    <w:rsid w:val="00AF39F5"/>
    <w:rsid w:val="00B22048"/>
    <w:rsid w:val="00B416D7"/>
    <w:rsid w:val="00BA13BE"/>
    <w:rsid w:val="00BB1A08"/>
    <w:rsid w:val="00C114F1"/>
    <w:rsid w:val="00C61301"/>
    <w:rsid w:val="00C956D1"/>
    <w:rsid w:val="00D22039"/>
    <w:rsid w:val="00D237F9"/>
    <w:rsid w:val="00D45EDA"/>
    <w:rsid w:val="00D85DD9"/>
    <w:rsid w:val="00DF33B0"/>
    <w:rsid w:val="00ED72C1"/>
    <w:rsid w:val="00F26C06"/>
    <w:rsid w:val="00F61A1F"/>
    <w:rsid w:val="00F876DF"/>
    <w:rsid w:val="00F96467"/>
    <w:rsid w:val="00FE263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85CC46"/>
  <w15:docId w15:val="{318D9897-6486-46E9-9C30-88A2DC9CB4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D078D"/>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Footer">
    <w:name w:val="footer"/>
    <w:basedOn w:val="Normal"/>
    <w:link w:val="FooterChar"/>
    <w:uiPriority w:val="99"/>
    <w:rsid w:val="00ED078D"/>
    <w:pPr>
      <w:tabs>
        <w:tab w:val="center" w:pos="4320"/>
        <w:tab w:val="right" w:pos="8640"/>
      </w:tabs>
    </w:pPr>
  </w:style>
  <w:style w:type="character" w:customStyle="1" w:styleId="FooterChar">
    <w:name w:val="Footer Char"/>
    <w:basedOn w:val="DefaultParagraphFont"/>
    <w:link w:val="Footer"/>
    <w:uiPriority w:val="99"/>
    <w:rsid w:val="00ED078D"/>
    <w:rPr>
      <w:rFonts w:ascii="Times New Roman" w:eastAsia="Times New Roman" w:hAnsi="Times New Roman" w:cs="Times New Roman"/>
    </w:rPr>
  </w:style>
  <w:style w:type="paragraph" w:styleId="ListParagraph">
    <w:name w:val="List Paragraph"/>
    <w:basedOn w:val="Normal"/>
    <w:link w:val="ListParagraphChar"/>
    <w:uiPriority w:val="34"/>
    <w:qFormat/>
    <w:rsid w:val="00ED078D"/>
    <w:pPr>
      <w:ind w:left="720"/>
      <w:contextualSpacing/>
    </w:pPr>
    <w:rPr>
      <w:rFonts w:ascii="Calibri" w:hAnsi="Calibri"/>
      <w:szCs w:val="24"/>
      <w:lang w:bidi="en-US"/>
    </w:rPr>
  </w:style>
  <w:style w:type="character" w:customStyle="1" w:styleId="ListParagraphChar">
    <w:name w:val="List Paragraph Char"/>
    <w:basedOn w:val="DefaultParagraphFont"/>
    <w:link w:val="ListParagraph"/>
    <w:uiPriority w:val="34"/>
    <w:rsid w:val="00ED078D"/>
    <w:rPr>
      <w:rFonts w:ascii="Calibri" w:eastAsia="Times New Roman" w:hAnsi="Calibri" w:cs="Times New Roman"/>
      <w:szCs w:val="24"/>
      <w:lang w:bidi="en-US"/>
    </w:rPr>
  </w:style>
  <w:style w:type="paragraph" w:styleId="NormalWeb">
    <w:name w:val="Normal (Web)"/>
    <w:basedOn w:val="Normal"/>
    <w:uiPriority w:val="99"/>
    <w:semiHidden/>
    <w:unhideWhenUsed/>
    <w:rsid w:val="00327657"/>
    <w:pPr>
      <w:spacing w:before="100" w:beforeAutospacing="1" w:after="100" w:afterAutospacing="1"/>
    </w:pPr>
    <w:rPr>
      <w:sz w:val="24"/>
      <w:szCs w:val="24"/>
    </w:rPr>
  </w:style>
  <w:style w:type="character" w:styleId="Strong">
    <w:name w:val="Strong"/>
    <w:basedOn w:val="DefaultParagraphFont"/>
    <w:uiPriority w:val="22"/>
    <w:qFormat/>
    <w:rsid w:val="00327657"/>
    <w:rPr>
      <w:b/>
      <w:bCs/>
    </w:rPr>
  </w:style>
  <w:style w:type="paragraph" w:styleId="Header">
    <w:name w:val="header"/>
    <w:basedOn w:val="Normal"/>
    <w:link w:val="HeaderChar"/>
    <w:uiPriority w:val="99"/>
    <w:unhideWhenUsed/>
    <w:rsid w:val="001A5456"/>
    <w:pPr>
      <w:tabs>
        <w:tab w:val="center" w:pos="4680"/>
        <w:tab w:val="right" w:pos="9360"/>
      </w:tabs>
    </w:pPr>
  </w:style>
  <w:style w:type="character" w:customStyle="1" w:styleId="HeaderChar">
    <w:name w:val="Header Char"/>
    <w:basedOn w:val="DefaultParagraphFont"/>
    <w:link w:val="Header"/>
    <w:uiPriority w:val="99"/>
    <w:rsid w:val="001A5456"/>
    <w:rPr>
      <w:rFonts w:ascii="Times New Roman" w:eastAsia="Times New Roman" w:hAnsi="Times New Roman" w:cs="Times New Roman"/>
    </w:rPr>
  </w:style>
  <w:style w:type="paragraph" w:styleId="NoSpacing">
    <w:name w:val="No Spacing"/>
    <w:uiPriority w:val="1"/>
    <w:qFormat/>
    <w:rsid w:val="00AA019C"/>
    <w:rPr>
      <w:rFonts w:eastAsia="Arial" w:cs="Arial"/>
      <w:lang w:val="en"/>
    </w:rPr>
  </w:style>
  <w:style w:type="table" w:styleId="TableGrid">
    <w:name w:val="Table Grid"/>
    <w:basedOn w:val="TableNormal"/>
    <w:uiPriority w:val="39"/>
    <w:rsid w:val="00FB75EF"/>
    <w:rPr>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normaltextrun">
    <w:name w:val="normaltextrun"/>
    <w:basedOn w:val="DefaultParagraphFont"/>
    <w:rsid w:val="00FB75EF"/>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character" w:styleId="Hyperlink">
    <w:name w:val="Hyperlink"/>
    <w:basedOn w:val="DefaultParagraphFont"/>
    <w:uiPriority w:val="99"/>
    <w:unhideWhenUsed/>
    <w:rsid w:val="00BA13BE"/>
    <w:rPr>
      <w:color w:val="0563C1" w:themeColor="hyperlink"/>
      <w:u w:val="single"/>
    </w:rPr>
  </w:style>
  <w:style w:type="character" w:styleId="UnresolvedMention">
    <w:name w:val="Unresolved Mention"/>
    <w:basedOn w:val="DefaultParagraphFont"/>
    <w:uiPriority w:val="99"/>
    <w:semiHidden/>
    <w:unhideWhenUsed/>
    <w:rsid w:val="00BA13B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7402826">
      <w:bodyDiv w:val="1"/>
      <w:marLeft w:val="0"/>
      <w:marRight w:val="0"/>
      <w:marTop w:val="0"/>
      <w:marBottom w:val="0"/>
      <w:divBdr>
        <w:top w:val="none" w:sz="0" w:space="0" w:color="auto"/>
        <w:left w:val="none" w:sz="0" w:space="0" w:color="auto"/>
        <w:bottom w:val="none" w:sz="0" w:space="0" w:color="auto"/>
        <w:right w:val="none" w:sz="0" w:space="0" w:color="auto"/>
      </w:divBdr>
      <w:divsChild>
        <w:div w:id="1748116005">
          <w:marLeft w:val="0"/>
          <w:marRight w:val="0"/>
          <w:marTop w:val="0"/>
          <w:marBottom w:val="0"/>
          <w:divBdr>
            <w:top w:val="none" w:sz="0" w:space="0" w:color="auto"/>
            <w:left w:val="none" w:sz="0" w:space="0" w:color="auto"/>
            <w:bottom w:val="none" w:sz="0" w:space="0" w:color="auto"/>
            <w:right w:val="none" w:sz="0" w:space="0" w:color="auto"/>
          </w:divBdr>
          <w:divsChild>
            <w:div w:id="108209718">
              <w:marLeft w:val="0"/>
              <w:marRight w:val="0"/>
              <w:marTop w:val="0"/>
              <w:marBottom w:val="0"/>
              <w:divBdr>
                <w:top w:val="none" w:sz="0" w:space="0" w:color="auto"/>
                <w:left w:val="none" w:sz="0" w:space="0" w:color="auto"/>
                <w:bottom w:val="none" w:sz="0" w:space="0" w:color="auto"/>
                <w:right w:val="none" w:sz="0" w:space="0" w:color="auto"/>
              </w:divBdr>
            </w:div>
            <w:div w:id="91824832">
              <w:marLeft w:val="0"/>
              <w:marRight w:val="0"/>
              <w:marTop w:val="0"/>
              <w:marBottom w:val="0"/>
              <w:divBdr>
                <w:top w:val="none" w:sz="0" w:space="0" w:color="auto"/>
                <w:left w:val="none" w:sz="0" w:space="0" w:color="auto"/>
                <w:bottom w:val="none" w:sz="0" w:space="0" w:color="auto"/>
                <w:right w:val="none" w:sz="0" w:space="0" w:color="auto"/>
              </w:divBdr>
            </w:div>
            <w:div w:id="877356871">
              <w:marLeft w:val="0"/>
              <w:marRight w:val="0"/>
              <w:marTop w:val="0"/>
              <w:marBottom w:val="0"/>
              <w:divBdr>
                <w:top w:val="none" w:sz="0" w:space="0" w:color="auto"/>
                <w:left w:val="none" w:sz="0" w:space="0" w:color="auto"/>
                <w:bottom w:val="none" w:sz="0" w:space="0" w:color="auto"/>
                <w:right w:val="none" w:sz="0" w:space="0" w:color="auto"/>
              </w:divBdr>
            </w:div>
            <w:div w:id="742138721">
              <w:marLeft w:val="0"/>
              <w:marRight w:val="0"/>
              <w:marTop w:val="0"/>
              <w:marBottom w:val="0"/>
              <w:divBdr>
                <w:top w:val="none" w:sz="0" w:space="0" w:color="auto"/>
                <w:left w:val="none" w:sz="0" w:space="0" w:color="auto"/>
                <w:bottom w:val="none" w:sz="0" w:space="0" w:color="auto"/>
                <w:right w:val="none" w:sz="0" w:space="0" w:color="auto"/>
              </w:divBdr>
            </w:div>
            <w:div w:id="1708483819">
              <w:marLeft w:val="0"/>
              <w:marRight w:val="0"/>
              <w:marTop w:val="0"/>
              <w:marBottom w:val="0"/>
              <w:divBdr>
                <w:top w:val="none" w:sz="0" w:space="0" w:color="auto"/>
                <w:left w:val="none" w:sz="0" w:space="0" w:color="auto"/>
                <w:bottom w:val="none" w:sz="0" w:space="0" w:color="auto"/>
                <w:right w:val="none" w:sz="0" w:space="0" w:color="auto"/>
              </w:divBdr>
            </w:div>
            <w:div w:id="953442581">
              <w:marLeft w:val="0"/>
              <w:marRight w:val="0"/>
              <w:marTop w:val="0"/>
              <w:marBottom w:val="0"/>
              <w:divBdr>
                <w:top w:val="none" w:sz="0" w:space="0" w:color="auto"/>
                <w:left w:val="none" w:sz="0" w:space="0" w:color="auto"/>
                <w:bottom w:val="none" w:sz="0" w:space="0" w:color="auto"/>
                <w:right w:val="none" w:sz="0" w:space="0" w:color="auto"/>
              </w:divBdr>
            </w:div>
            <w:div w:id="2110159144">
              <w:marLeft w:val="0"/>
              <w:marRight w:val="0"/>
              <w:marTop w:val="0"/>
              <w:marBottom w:val="0"/>
              <w:divBdr>
                <w:top w:val="none" w:sz="0" w:space="0" w:color="auto"/>
                <w:left w:val="none" w:sz="0" w:space="0" w:color="auto"/>
                <w:bottom w:val="none" w:sz="0" w:space="0" w:color="auto"/>
                <w:right w:val="none" w:sz="0" w:space="0" w:color="auto"/>
              </w:divBdr>
            </w:div>
            <w:div w:id="741222969">
              <w:marLeft w:val="0"/>
              <w:marRight w:val="0"/>
              <w:marTop w:val="0"/>
              <w:marBottom w:val="0"/>
              <w:divBdr>
                <w:top w:val="none" w:sz="0" w:space="0" w:color="auto"/>
                <w:left w:val="none" w:sz="0" w:space="0" w:color="auto"/>
                <w:bottom w:val="none" w:sz="0" w:space="0" w:color="auto"/>
                <w:right w:val="none" w:sz="0" w:space="0" w:color="auto"/>
              </w:divBdr>
            </w:div>
            <w:div w:id="1841311174">
              <w:marLeft w:val="0"/>
              <w:marRight w:val="0"/>
              <w:marTop w:val="0"/>
              <w:marBottom w:val="0"/>
              <w:divBdr>
                <w:top w:val="none" w:sz="0" w:space="0" w:color="auto"/>
                <w:left w:val="none" w:sz="0" w:space="0" w:color="auto"/>
                <w:bottom w:val="none" w:sz="0" w:space="0" w:color="auto"/>
                <w:right w:val="none" w:sz="0" w:space="0" w:color="auto"/>
              </w:divBdr>
            </w:div>
            <w:div w:id="679890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9185403">
      <w:bodyDiv w:val="1"/>
      <w:marLeft w:val="0"/>
      <w:marRight w:val="0"/>
      <w:marTop w:val="0"/>
      <w:marBottom w:val="0"/>
      <w:divBdr>
        <w:top w:val="none" w:sz="0" w:space="0" w:color="auto"/>
        <w:left w:val="none" w:sz="0" w:space="0" w:color="auto"/>
        <w:bottom w:val="none" w:sz="0" w:space="0" w:color="auto"/>
        <w:right w:val="none" w:sz="0" w:space="0" w:color="auto"/>
      </w:divBdr>
      <w:divsChild>
        <w:div w:id="1434741351">
          <w:marLeft w:val="0"/>
          <w:marRight w:val="0"/>
          <w:marTop w:val="0"/>
          <w:marBottom w:val="0"/>
          <w:divBdr>
            <w:top w:val="none" w:sz="0" w:space="0" w:color="auto"/>
            <w:left w:val="none" w:sz="0" w:space="0" w:color="auto"/>
            <w:bottom w:val="none" w:sz="0" w:space="0" w:color="auto"/>
            <w:right w:val="none" w:sz="0" w:space="0" w:color="auto"/>
          </w:divBdr>
          <w:divsChild>
            <w:div w:id="26494303">
              <w:marLeft w:val="0"/>
              <w:marRight w:val="0"/>
              <w:marTop w:val="0"/>
              <w:marBottom w:val="0"/>
              <w:divBdr>
                <w:top w:val="none" w:sz="0" w:space="0" w:color="auto"/>
                <w:left w:val="none" w:sz="0" w:space="0" w:color="auto"/>
                <w:bottom w:val="none" w:sz="0" w:space="0" w:color="auto"/>
                <w:right w:val="none" w:sz="0" w:space="0" w:color="auto"/>
              </w:divBdr>
            </w:div>
            <w:div w:id="1985701138">
              <w:marLeft w:val="0"/>
              <w:marRight w:val="0"/>
              <w:marTop w:val="0"/>
              <w:marBottom w:val="0"/>
              <w:divBdr>
                <w:top w:val="none" w:sz="0" w:space="0" w:color="auto"/>
                <w:left w:val="none" w:sz="0" w:space="0" w:color="auto"/>
                <w:bottom w:val="none" w:sz="0" w:space="0" w:color="auto"/>
                <w:right w:val="none" w:sz="0" w:space="0" w:color="auto"/>
              </w:divBdr>
            </w:div>
            <w:div w:id="2130587116">
              <w:marLeft w:val="0"/>
              <w:marRight w:val="0"/>
              <w:marTop w:val="0"/>
              <w:marBottom w:val="0"/>
              <w:divBdr>
                <w:top w:val="none" w:sz="0" w:space="0" w:color="auto"/>
                <w:left w:val="none" w:sz="0" w:space="0" w:color="auto"/>
                <w:bottom w:val="none" w:sz="0" w:space="0" w:color="auto"/>
                <w:right w:val="none" w:sz="0" w:space="0" w:color="auto"/>
              </w:divBdr>
            </w:div>
            <w:div w:id="1442257423">
              <w:marLeft w:val="0"/>
              <w:marRight w:val="0"/>
              <w:marTop w:val="0"/>
              <w:marBottom w:val="0"/>
              <w:divBdr>
                <w:top w:val="none" w:sz="0" w:space="0" w:color="auto"/>
                <w:left w:val="none" w:sz="0" w:space="0" w:color="auto"/>
                <w:bottom w:val="none" w:sz="0" w:space="0" w:color="auto"/>
                <w:right w:val="none" w:sz="0" w:space="0" w:color="auto"/>
              </w:divBdr>
            </w:div>
            <w:div w:id="1357846869">
              <w:marLeft w:val="0"/>
              <w:marRight w:val="0"/>
              <w:marTop w:val="0"/>
              <w:marBottom w:val="0"/>
              <w:divBdr>
                <w:top w:val="none" w:sz="0" w:space="0" w:color="auto"/>
                <w:left w:val="none" w:sz="0" w:space="0" w:color="auto"/>
                <w:bottom w:val="none" w:sz="0" w:space="0" w:color="auto"/>
                <w:right w:val="none" w:sz="0" w:space="0" w:color="auto"/>
              </w:divBdr>
            </w:div>
            <w:div w:id="1526870720">
              <w:marLeft w:val="0"/>
              <w:marRight w:val="0"/>
              <w:marTop w:val="0"/>
              <w:marBottom w:val="0"/>
              <w:divBdr>
                <w:top w:val="none" w:sz="0" w:space="0" w:color="auto"/>
                <w:left w:val="none" w:sz="0" w:space="0" w:color="auto"/>
                <w:bottom w:val="none" w:sz="0" w:space="0" w:color="auto"/>
                <w:right w:val="none" w:sz="0" w:space="0" w:color="auto"/>
              </w:divBdr>
            </w:div>
            <w:div w:id="40401545">
              <w:marLeft w:val="0"/>
              <w:marRight w:val="0"/>
              <w:marTop w:val="0"/>
              <w:marBottom w:val="0"/>
              <w:divBdr>
                <w:top w:val="none" w:sz="0" w:space="0" w:color="auto"/>
                <w:left w:val="none" w:sz="0" w:space="0" w:color="auto"/>
                <w:bottom w:val="none" w:sz="0" w:space="0" w:color="auto"/>
                <w:right w:val="none" w:sz="0" w:space="0" w:color="auto"/>
              </w:divBdr>
            </w:div>
            <w:div w:id="340283980">
              <w:marLeft w:val="0"/>
              <w:marRight w:val="0"/>
              <w:marTop w:val="0"/>
              <w:marBottom w:val="0"/>
              <w:divBdr>
                <w:top w:val="none" w:sz="0" w:space="0" w:color="auto"/>
                <w:left w:val="none" w:sz="0" w:space="0" w:color="auto"/>
                <w:bottom w:val="none" w:sz="0" w:space="0" w:color="auto"/>
                <w:right w:val="none" w:sz="0" w:space="0" w:color="auto"/>
              </w:divBdr>
            </w:div>
            <w:div w:id="1339848605">
              <w:marLeft w:val="0"/>
              <w:marRight w:val="0"/>
              <w:marTop w:val="0"/>
              <w:marBottom w:val="0"/>
              <w:divBdr>
                <w:top w:val="none" w:sz="0" w:space="0" w:color="auto"/>
                <w:left w:val="none" w:sz="0" w:space="0" w:color="auto"/>
                <w:bottom w:val="none" w:sz="0" w:space="0" w:color="auto"/>
                <w:right w:val="none" w:sz="0" w:space="0" w:color="auto"/>
              </w:divBdr>
            </w:div>
            <w:div w:id="2041129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nf62c0E4epwYQhRif8jBoGkkfww==">CgMxLjA4AHIhMVdqSFJIQndna1RfUmE5ZkEzUy1kUGJxdmdJZ3kwb2Jw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73</TotalTime>
  <Pages>1</Pages>
  <Words>549</Words>
  <Characters>3131</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Little, John</dc:creator>
  <cp:lastModifiedBy>Cano Rojas, Alberto</cp:lastModifiedBy>
  <cp:revision>33</cp:revision>
  <dcterms:created xsi:type="dcterms:W3CDTF">2021-01-11T18:33:00Z</dcterms:created>
  <dcterms:modified xsi:type="dcterms:W3CDTF">2026-07-02T20:36:00Z</dcterms:modified>
</cp:coreProperties>
</file>